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left" w:pos="9026"/>
        </w:tabs>
        <w:bidi/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rFonts w:ascii="Noto Sans Arabic" w:cs="Noto Sans Arabic" w:eastAsia="Noto Sans Arabic" w:hAnsi="Noto Sans Arabic"/>
          <w:i/>
          <w:iCs/>
          <w:sz w:val="20"/>
          <w:szCs w:val="20"/>
          <w:rtl/>
        </w:rPr>
        <w:t xml:space="preserve">	سري</w:t>
      </w:r>
    </w:p>
    <w:p>
      <w:pPr>
        <w:bidi/>
        <w:spacing w:after="60"/>
        <w:jc w:val="right"/>
      </w:pPr>
      <w:r>
        <w:rPr>
          <w:rFonts w:ascii="Noto Sans Arabic" w:cs="Noto Sans Arabic" w:eastAsia="Noto Sans Arabic" w:hAnsi="Noto Sans Arabic"/>
          <w:b/>
          <w:bCs/>
          <w:sz w:val="32"/>
          <w:szCs w:val="32"/>
          <w:rtl/>
        </w:rPr>
        <w:t xml:space="preserve">شروط وأحكام البطولة</w:t>
      </w:r>
    </w:p>
    <w:p>
      <w:pPr>
        <w:bidi/>
        <w:spacing w:after="240"/>
        <w:jc w:val="right"/>
      </w:pPr>
      <w:r>
        <w:rPr>
          <w:rFonts w:ascii="Noto Sans Arabic" w:cs="Noto Sans Arabic" w:eastAsia="Noto Sans Arabic" w:hAnsi="Noto Sans Arabic"/>
          <w:i/>
          <w:iCs/>
          <w:sz w:val="24"/>
          <w:szCs w:val="24"/>
          <w:rtl/>
        </w:rPr>
        <w:t xml:space="preserve">بوكر كرالي — تركيا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5950"/>
      </w:tblGrid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b/>
                <w:bCs/>
                <w:sz w:val="20"/>
                <w:szCs w:val="20"/>
                <w:rtl/>
              </w:rPr>
              <w:t xml:space="preserve">اسم البطولة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sz w:val="20"/>
                <w:szCs w:val="20"/>
                <w:rtl/>
              </w:rPr>
              <w:t xml:space="preserve">بوكر كرالي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b/>
                <w:bCs/>
                <w:sz w:val="20"/>
                <w:szCs w:val="20"/>
                <w:rtl/>
              </w:rPr>
              <w:t xml:space="preserve">المنطقة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sz w:val="20"/>
                <w:szCs w:val="20"/>
                <w:rtl/>
              </w:rPr>
              <w:t xml:space="preserve">تركيا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b/>
                <w:bCs/>
                <w:sz w:val="20"/>
                <w:szCs w:val="20"/>
                <w:rtl/>
              </w:rPr>
              <w:t xml:space="preserve">اللعبة المؤهلة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sz w:val="20"/>
                <w:szCs w:val="20"/>
                <w:rtl/>
              </w:rPr>
              <w:t xml:space="preserve">بوكر روسي (فردي)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b/>
                <w:bCs/>
                <w:sz w:val="20"/>
                <w:szCs w:val="20"/>
                <w:rtl/>
              </w:rPr>
              <w:t xml:space="preserve">المدة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sz w:val="20"/>
                <w:szCs w:val="20"/>
                <w:rtl/>
              </w:rPr>
              <w:t xml:space="preserve">6 يوليو – 4 أغسطس 2026 (30 يومًا)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b/>
                <w:bCs/>
                <w:sz w:val="20"/>
                <w:szCs w:val="20"/>
                <w:rtl/>
              </w:rPr>
              <w:t xml:space="preserve">مجموع الجوائز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sz w:val="20"/>
                <w:szCs w:val="20"/>
                <w:rtl/>
              </w:rPr>
              <w:t xml:space="preserve">صندوق جوائز نقدي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b/>
                <w:bCs/>
                <w:sz w:val="20"/>
                <w:szCs w:val="20"/>
                <w:rtl/>
              </w:rPr>
              <w:t xml:space="preserve">إجمالي الفائزين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sz w:val="20"/>
                <w:szCs w:val="20"/>
                <w:rtl/>
              </w:rPr>
              <w:t xml:space="preserve">200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b/>
                <w:bCs/>
                <w:sz w:val="20"/>
                <w:szCs w:val="20"/>
                <w:rtl/>
              </w:rPr>
              <w:t xml:space="preserve">الحد الأدنى للرهان المؤهل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sz w:val="20"/>
                <w:szCs w:val="20"/>
                <w:rtl/>
              </w:rPr>
              <w:t xml:space="preserve">0.10 لكل جولة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b/>
                <w:bCs/>
                <w:sz w:val="20"/>
                <w:szCs w:val="20"/>
                <w:rtl/>
              </w:rPr>
              <w:t xml:space="preserve">الحد الأدنى لمعامل الأهلية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sz w:val="20"/>
                <w:szCs w:val="20"/>
                <w:rtl/>
              </w:rPr>
              <w:t xml:space="preserve">1.3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b/>
                <w:bCs/>
                <w:sz w:val="20"/>
                <w:szCs w:val="20"/>
                <w:rtl/>
              </w:rPr>
              <w:t xml:space="preserve">الحد الأقصى لعدد الجولات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bidi/>
              <w:jc w:val="right"/>
            </w:pPr>
            <w:r>
              <w:rPr>
                <w:rFonts w:ascii="Noto Sans Arabic" w:cs="Noto Sans Arabic" w:eastAsia="Noto Sans Arabic" w:hAnsi="Noto Sans Arabic"/>
                <w:sz w:val="20"/>
                <w:szCs w:val="20"/>
                <w:rtl/>
              </w:rPr>
              <w:t xml:space="preserve">إجمالي 5,400 جولة</w:t>
            </w:r>
          </w:p>
        </w:tc>
      </w:tr>
    </w:tbl>
    <w:p>
      <w:pPr>
        <w:bidi/>
        <w:spacing w:after="120" w:before="300"/>
        <w:jc w:val="right"/>
      </w:pPr>
      <w:r>
        <w:rPr>
          <w:rFonts w:ascii="Noto Sans Arabic" w:cs="Noto Sans Arabic" w:eastAsia="Noto Sans Arabic" w:hAnsi="Noto Sans Arabic"/>
          <w:b/>
          <w:bCs/>
          <w:sz w:val="24"/>
          <w:szCs w:val="24"/>
          <w:rtl/>
        </w:rPr>
        <w:t xml:space="preserve">1. نظرة عامة على العرض الترويجي</w:t>
      </w:r>
    </w:p>
    <w:p>
      <w:pPr>
        <w:bidi/>
        <w:spacing w:after="12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«بوكر كرالي» بطولة كازينو حي مدتها 30 يومًا تنظمها CreedRoomz، وتُقام من 6 يوليو 2026 إلى 4 أغسطس 2026. البطولة مفتوحة لجميع اللاعبين المؤهلين لدى مشغلي الشركاء المشاركين في منطقة تركيا.</w:t>
      </w:r>
    </w:p>
    <w:p>
      <w:pPr>
        <w:bidi/>
        <w:spacing w:after="120" w:before="300"/>
        <w:jc w:val="right"/>
      </w:pPr>
      <w:r>
        <w:rPr>
          <w:rFonts w:ascii="Noto Sans Arabic" w:cs="Noto Sans Arabic" w:eastAsia="Noto Sans Arabic" w:hAnsi="Noto Sans Arabic"/>
          <w:b/>
          <w:bCs/>
          <w:sz w:val="24"/>
          <w:szCs w:val="24"/>
          <w:rtl/>
        </w:rPr>
        <w:t xml:space="preserve">2. المشاركة والأهلية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يتم تسجيل جميع لاعبي مشغلي الشركاء المؤهلين تلقائيًا في البطولة عند وضع رهان مؤهل.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اللعبة المؤهلة: بوكر روسي (فردي)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الحد الأدنى للرهان المؤهل: 0.10 لكل جولة.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الحد الأدنى لمعامل الأهلية: 1.3.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الحد الأقصى لعدد الجولات: إجمالي 5,400 جولة لكل لاعب طوال مدة البطولة الكاملة.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يجب على اللاعبين تحقيق فوز واحد على الأقل للظهور في لوحة الصدارة.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تخضع المشاركة لوجود اتفاقية نشطة بين مشغل اللاعب وCreedRoomz خلال فترة البطولة ذات الصلة.</w:t>
      </w:r>
    </w:p>
    <w:p>
      <w:pPr>
        <w:bidi/>
        <w:spacing w:after="120" w:before="300"/>
        <w:jc w:val="right"/>
      </w:pPr>
      <w:r>
        <w:rPr>
          <w:rFonts w:ascii="Noto Sans Arabic" w:cs="Noto Sans Arabic" w:eastAsia="Noto Sans Arabic" w:hAnsi="Noto Sans Arabic"/>
          <w:b/>
          <w:bCs/>
          <w:sz w:val="24"/>
          <w:szCs w:val="24"/>
          <w:rtl/>
        </w:rPr>
        <w:t xml:space="preserve">3. صندوق الجوائز والتوزيع</w:t>
      </w:r>
    </w:p>
    <w:p>
      <w:pPr>
        <w:bidi/>
        <w:spacing w:after="12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سيتم توزيع صندوق جوائز نقدي على أفضل 200 لاعب في ختام البطولة بتاريخ 4 أغسطس 2026. تُمنح الجوائز بناءً على الترتيب النهائي في لوحة الصدارة.</w:t>
      </w:r>
    </w:p>
    <w:p>
      <w:pPr>
        <w:bidi/>
        <w:spacing w:after="120" w:before="300"/>
        <w:jc w:val="right"/>
      </w:pPr>
      <w:r>
        <w:rPr>
          <w:rFonts w:ascii="Noto Sans Arabic" w:cs="Noto Sans Arabic" w:eastAsia="Noto Sans Arabic" w:hAnsi="Noto Sans Arabic"/>
          <w:b/>
          <w:bCs/>
          <w:sz w:val="24"/>
          <w:szCs w:val="24"/>
          <w:rtl/>
        </w:rPr>
        <w:t xml:space="preserve">4. الشروط العامة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يخضع هذا العرض الترويجي للتوفر، ويجوز لـCreedRoomz تعديله أو إلغاؤه وفقًا لتقديرها الخاص.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الجوائز غير قابلة للتحويل، ولا يمكن استبدالها بجوائز أخرى أو مقابل نقدي خارج عملية الدفع القياسية.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تحتفظ CreedRoomz بالحق في استبعاد أي لاعب أو إلغاء أرباحه في حال اكتشاف نشاط احتيالي أو تواطؤ أو مخالفة لهذه الشروط.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يُحظر تمامًا استخدام البرامج الآلية أو الروبوتات أو أي شكل من أشكال اللعب المبرمج، وسيؤدي ذلك إلى الاستبعاد الفوري.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في حال تعادل النتائج على لوحة الصدارة، يُصنَّف اللاعب الذي حقق النتيجة أولًا (استنادًا إلى الطابع الزمني للجولة المؤهلة) في مرتبة أعلى.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قرارات CreedRoomz بشأن ترتيب البطولة وأهلية الجوائز والاستبعاد نهائية وملزمة.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يتوافق هذا العرض الترويجي مع المتطلبات التنظيمية المعمول بها في الولاية القضائية ذات الصلة. يتحمل مشغلو الشركاء مسؤولية ضمان امتثال لاعبيهم للقوانين المحلية.</w:t>
      </w:r>
    </w:p>
    <w:p>
      <w:pPr>
        <w:pStyle w:val="ListParagraph"/>
        <w:numPr>
          <w:ilvl w:val="0"/>
          <w:numId w:val="1"/>
        </w:numPr>
        <w:bidi/>
        <w:spacing w:after="9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تتحمل CreedRoomz كامل تكلفة صندوق الجوائز لهذا العرض الترويجي.</w:t>
      </w:r>
    </w:p>
    <w:p>
      <w:pPr>
        <w:bidi/>
        <w:spacing w:after="120" w:before="300"/>
        <w:jc w:val="right"/>
      </w:pPr>
      <w:r>
        <w:rPr>
          <w:rFonts w:ascii="Noto Sans Arabic" w:cs="Noto Sans Arabic" w:eastAsia="Noto Sans Arabic" w:hAnsi="Noto Sans Arabic"/>
          <w:b/>
          <w:bCs/>
          <w:sz w:val="24"/>
          <w:szCs w:val="24"/>
          <w:rtl/>
        </w:rPr>
        <w:t xml:space="preserve">5. قبول الشروط</w:t>
      </w:r>
    </w:p>
    <w:p>
      <w:pPr>
        <w:bidi/>
        <w:spacing w:after="120"/>
        <w:jc w:val="right"/>
      </w:pPr>
      <w:r>
        <w:rPr>
          <w:rFonts w:ascii="Noto Sans Arabic" w:cs="Noto Sans Arabic" w:eastAsia="Noto Sans Arabic" w:hAnsi="Noto Sans Arabic"/>
          <w:sz w:val="21"/>
          <w:szCs w:val="21"/>
          <w:rtl/>
        </w:rPr>
        <w:t xml:space="preserve">بمشاركته في هذه البطولة، يقر اللاعب بأنه قرأ هذه الشروط والأحكام وفهمها وقبلها بالكامل. يشكّل استمرار المشاركة قبولًا تامًا.</w:t>
      </w:r>
    </w:p>
    <w:p>
      <w:pPr>
        <w:bidi/>
        <w:spacing w:before="300"/>
        <w:jc w:val="right"/>
      </w:pPr>
      <w:r>
        <w:rPr>
          <w:rFonts w:ascii="Noto Sans Arabic" w:cs="Noto Sans Arabic" w:eastAsia="Noto Sans Arabic" w:hAnsi="Noto Sans Arabic"/>
          <w:i/>
          <w:iCs/>
          <w:color w:val="888888"/>
          <w:sz w:val="18"/>
          <w:szCs w:val="18"/>
          <w:rtl/>
        </w:rPr>
        <w:t xml:space="preserve">© CreedRoomz — سري. للتوزيع بين الشركاء فقط.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2026-07-03T13:26:05.895Z</dcterms:created>
  <dcterms:modified xsi:type="dcterms:W3CDTF">2026-07-03T13:26:05.896Z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